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68621" w14:textId="77777777" w:rsidR="00B32B00" w:rsidRDefault="00B32B00" w:rsidP="00B32B00">
      <w:pPr>
        <w:pStyle w:val="NormalWeb"/>
        <w:shd w:val="clear" w:color="auto" w:fill="FFFFFF" w:themeFill="background1"/>
        <w:rPr>
          <w:rFonts w:ascii="Lato" w:hAnsi="Lato"/>
          <w:color w:val="333333"/>
          <w:sz w:val="20"/>
          <w:szCs w:val="20"/>
        </w:rPr>
      </w:pPr>
      <w:r>
        <w:rPr>
          <w:rStyle w:val="Strong"/>
          <w:rFonts w:ascii="Lato" w:hAnsi="Lato"/>
          <w:color w:val="333333"/>
          <w:sz w:val="20"/>
          <w:szCs w:val="20"/>
        </w:rPr>
        <w:t>462-220-0080</w:t>
      </w:r>
      <w:r>
        <w:rPr>
          <w:rFonts w:ascii="Lato" w:hAnsi="Lato"/>
          <w:color w:val="333333"/>
          <w:sz w:val="20"/>
          <w:szCs w:val="20"/>
        </w:rPr>
        <w:br/>
      </w:r>
      <w:r>
        <w:rPr>
          <w:rStyle w:val="Strong"/>
          <w:rFonts w:ascii="Lato" w:hAnsi="Lato"/>
          <w:color w:val="333333"/>
          <w:sz w:val="20"/>
          <w:szCs w:val="20"/>
        </w:rPr>
        <w:t>Distribution of Receipts from Multi-Jurisdictional Simulcasting and Interactive Wagering Totalizator Hubs</w:t>
      </w:r>
    </w:p>
    <w:p w14:paraId="04B48585"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color w:val="333333"/>
          <w:sz w:val="20"/>
          <w:szCs w:val="20"/>
        </w:rPr>
        <w:t>From the payments made to the Oregon Racing Commission by Multi-Jurisdictional Simulcasting and Interactive Wagering Totalizator Hubs per ORS 462.725(4)(b), the commission shall:</w:t>
      </w:r>
    </w:p>
    <w:p w14:paraId="1C72F797"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color w:val="333333"/>
          <w:sz w:val="20"/>
          <w:szCs w:val="20"/>
        </w:rPr>
        <w:t xml:space="preserve">(1) Transfer to the State General Fund 25% of the </w:t>
      </w:r>
      <w:proofErr w:type="gramStart"/>
      <w:r>
        <w:rPr>
          <w:rFonts w:ascii="Lato" w:hAnsi="Lato"/>
          <w:color w:val="333333"/>
          <w:sz w:val="20"/>
          <w:szCs w:val="20"/>
        </w:rPr>
        <w:t>receipts;</w:t>
      </w:r>
      <w:proofErr w:type="gramEnd"/>
    </w:p>
    <w:p w14:paraId="01911F25"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color w:val="333333"/>
          <w:sz w:val="20"/>
          <w:szCs w:val="20"/>
        </w:rPr>
        <w:t>(2) Retain 75% in the agency's cash account. Of the retained money, the commission may distribute it for the benefit of the Oregon pari-mutuel racing industry as follows:</w:t>
      </w:r>
    </w:p>
    <w:p w14:paraId="37648644"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color w:val="333333"/>
          <w:sz w:val="20"/>
          <w:szCs w:val="20"/>
        </w:rPr>
        <w:t xml:space="preserve">(a) First, to race meets licensed under ORS 462.057 in the amounts necessary, in the commission's judgment, to allow an appropriate race </w:t>
      </w:r>
      <w:proofErr w:type="gramStart"/>
      <w:r>
        <w:rPr>
          <w:rFonts w:ascii="Lato" w:hAnsi="Lato"/>
          <w:color w:val="333333"/>
          <w:sz w:val="20"/>
          <w:szCs w:val="20"/>
        </w:rPr>
        <w:t>meet</w:t>
      </w:r>
      <w:proofErr w:type="gramEnd"/>
      <w:r>
        <w:rPr>
          <w:rFonts w:ascii="Lato" w:hAnsi="Lato"/>
          <w:color w:val="333333"/>
          <w:sz w:val="20"/>
          <w:szCs w:val="20"/>
        </w:rPr>
        <w:t xml:space="preserve"> with an appropriate purse level;</w:t>
      </w:r>
    </w:p>
    <w:p w14:paraId="267F9E8C"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color w:val="333333"/>
          <w:sz w:val="20"/>
          <w:szCs w:val="20"/>
        </w:rPr>
        <w:t>(b) Second, if there are funds remaining, to any entity in the Oregon pari-mutuel racing industry, after the receipt of a petition submitted to the commission, for purposes that benefit members of the pari-mutuel industry.</w:t>
      </w:r>
    </w:p>
    <w:p w14:paraId="0847D5BF" w14:textId="67AC4708" w:rsidR="001D4873" w:rsidRDefault="001D4873" w:rsidP="00B32B00">
      <w:pPr>
        <w:pStyle w:val="NormalWeb"/>
        <w:shd w:val="clear" w:color="auto" w:fill="FFFFFF" w:themeFill="background1"/>
        <w:rPr>
          <w:rFonts w:ascii="Lato" w:hAnsi="Lato"/>
          <w:b/>
          <w:bCs/>
          <w:color w:val="333333"/>
          <w:sz w:val="20"/>
          <w:szCs w:val="20"/>
          <w:u w:val="single"/>
        </w:rPr>
      </w:pPr>
      <w:r w:rsidRPr="001D4873">
        <w:rPr>
          <w:rFonts w:ascii="Lato" w:hAnsi="Lato"/>
          <w:b/>
          <w:bCs/>
          <w:color w:val="333333"/>
          <w:sz w:val="20"/>
          <w:szCs w:val="20"/>
          <w:u w:val="single"/>
        </w:rPr>
        <w:t>(3)</w:t>
      </w:r>
      <w:r>
        <w:rPr>
          <w:rFonts w:ascii="Lato" w:hAnsi="Lato"/>
          <w:b/>
          <w:bCs/>
          <w:color w:val="333333"/>
          <w:sz w:val="20"/>
          <w:szCs w:val="20"/>
          <w:u w:val="single"/>
        </w:rPr>
        <w:t xml:space="preserve"> All requests must be submitted in writing</w:t>
      </w:r>
      <w:r w:rsidR="00E73599">
        <w:rPr>
          <w:rFonts w:ascii="Lato" w:hAnsi="Lato"/>
          <w:b/>
          <w:bCs/>
          <w:color w:val="333333"/>
          <w:sz w:val="20"/>
          <w:szCs w:val="20"/>
          <w:u w:val="single"/>
        </w:rPr>
        <w:t xml:space="preserve"> on the official Oregon Racing Commission request form</w:t>
      </w:r>
      <w:r>
        <w:rPr>
          <w:rFonts w:ascii="Lato" w:hAnsi="Lato"/>
          <w:b/>
          <w:bCs/>
          <w:color w:val="333333"/>
          <w:sz w:val="20"/>
          <w:szCs w:val="20"/>
          <w:u w:val="single"/>
        </w:rPr>
        <w:t xml:space="preserve"> no later than January 1 of each odd numbered year </w:t>
      </w:r>
      <w:r w:rsidR="00BE0019">
        <w:rPr>
          <w:rFonts w:ascii="Lato" w:hAnsi="Lato"/>
          <w:b/>
          <w:bCs/>
          <w:color w:val="333333"/>
          <w:sz w:val="20"/>
          <w:szCs w:val="20"/>
          <w:u w:val="single"/>
        </w:rPr>
        <w:t xml:space="preserve">for the following biennium </w:t>
      </w:r>
      <w:r>
        <w:rPr>
          <w:rFonts w:ascii="Lato" w:hAnsi="Lato"/>
          <w:b/>
          <w:bCs/>
          <w:color w:val="333333"/>
          <w:sz w:val="20"/>
          <w:szCs w:val="20"/>
          <w:u w:val="single"/>
        </w:rPr>
        <w:t>and must include</w:t>
      </w:r>
      <w:r w:rsidR="00E73599">
        <w:rPr>
          <w:rFonts w:ascii="Lato" w:hAnsi="Lato"/>
          <w:b/>
          <w:bCs/>
          <w:color w:val="333333"/>
          <w:sz w:val="20"/>
          <w:szCs w:val="20"/>
          <w:u w:val="single"/>
        </w:rPr>
        <w:t xml:space="preserve"> a detailed list of all funds requested</w:t>
      </w:r>
      <w:r w:rsidR="00BE0019">
        <w:rPr>
          <w:rFonts w:ascii="Lato" w:hAnsi="Lato"/>
          <w:b/>
          <w:bCs/>
          <w:color w:val="333333"/>
          <w:sz w:val="20"/>
          <w:szCs w:val="20"/>
          <w:u w:val="single"/>
        </w:rPr>
        <w:t>, the purpose of the funds and a description of how the funds will benefit racing in Oregon</w:t>
      </w:r>
      <w:r w:rsidR="00E73599">
        <w:rPr>
          <w:rFonts w:ascii="Lato" w:hAnsi="Lato"/>
          <w:b/>
          <w:bCs/>
          <w:color w:val="333333"/>
          <w:sz w:val="20"/>
          <w:szCs w:val="20"/>
          <w:u w:val="single"/>
        </w:rPr>
        <w:t xml:space="preserve">. </w:t>
      </w:r>
    </w:p>
    <w:p w14:paraId="02344D53" w14:textId="49163E3F" w:rsidR="00E73599" w:rsidRDefault="00E73599" w:rsidP="00B32B00">
      <w:pPr>
        <w:pStyle w:val="NormalWeb"/>
        <w:shd w:val="clear" w:color="auto" w:fill="FFFFFF" w:themeFill="background1"/>
        <w:rPr>
          <w:rFonts w:ascii="Lato" w:hAnsi="Lato"/>
          <w:b/>
          <w:bCs/>
          <w:color w:val="333333"/>
          <w:sz w:val="20"/>
          <w:szCs w:val="20"/>
          <w:u w:val="single"/>
        </w:rPr>
      </w:pPr>
      <w:r>
        <w:rPr>
          <w:rFonts w:ascii="Lato" w:hAnsi="Lato"/>
          <w:b/>
          <w:bCs/>
          <w:color w:val="333333"/>
          <w:sz w:val="20"/>
          <w:szCs w:val="20"/>
          <w:u w:val="single"/>
        </w:rPr>
        <w:t xml:space="preserve">(4) All </w:t>
      </w:r>
      <w:r w:rsidR="00BE0019">
        <w:rPr>
          <w:rFonts w:ascii="Lato" w:hAnsi="Lato"/>
          <w:b/>
          <w:bCs/>
          <w:color w:val="333333"/>
          <w:sz w:val="20"/>
          <w:szCs w:val="20"/>
          <w:u w:val="single"/>
        </w:rPr>
        <w:t>distributions are subject to Oregon Racing Commission</w:t>
      </w:r>
      <w:r w:rsidR="006E5BAE">
        <w:rPr>
          <w:rFonts w:ascii="Lato" w:hAnsi="Lato"/>
          <w:b/>
          <w:bCs/>
          <w:color w:val="333333"/>
          <w:sz w:val="20"/>
          <w:szCs w:val="20"/>
          <w:u w:val="single"/>
        </w:rPr>
        <w:t xml:space="preserve"> </w:t>
      </w:r>
      <w:r w:rsidR="00BE0019">
        <w:rPr>
          <w:rFonts w:ascii="Lato" w:hAnsi="Lato"/>
          <w:b/>
          <w:bCs/>
          <w:color w:val="333333"/>
          <w:sz w:val="20"/>
          <w:szCs w:val="20"/>
          <w:u w:val="single"/>
        </w:rPr>
        <w:t xml:space="preserve">(ORC)  audits.  </w:t>
      </w:r>
    </w:p>
    <w:p w14:paraId="2C3A4E1A" w14:textId="0E2FD3E6" w:rsidR="00BE0019" w:rsidRDefault="00BE0019" w:rsidP="00B32B00">
      <w:pPr>
        <w:pStyle w:val="NormalWeb"/>
        <w:shd w:val="clear" w:color="auto" w:fill="FFFFFF" w:themeFill="background1"/>
        <w:rPr>
          <w:rFonts w:ascii="Lato" w:hAnsi="Lato"/>
          <w:b/>
          <w:bCs/>
          <w:color w:val="333333"/>
          <w:sz w:val="20"/>
          <w:szCs w:val="20"/>
          <w:u w:val="single"/>
        </w:rPr>
      </w:pPr>
      <w:r>
        <w:rPr>
          <w:rFonts w:ascii="Lato" w:hAnsi="Lato"/>
          <w:b/>
          <w:bCs/>
          <w:color w:val="333333"/>
          <w:sz w:val="20"/>
          <w:szCs w:val="20"/>
          <w:u w:val="single"/>
        </w:rPr>
        <w:t xml:space="preserve">(5) Changes to the intent of approved allocations must be resubmitted to the ORC for approval. </w:t>
      </w:r>
    </w:p>
    <w:p w14:paraId="57BE798C" w14:textId="1AD03EC5" w:rsidR="00BE0019" w:rsidRDefault="00BE0019" w:rsidP="00B32B00">
      <w:pPr>
        <w:pStyle w:val="NormalWeb"/>
        <w:shd w:val="clear" w:color="auto" w:fill="FFFFFF" w:themeFill="background1"/>
        <w:rPr>
          <w:rFonts w:ascii="Lato" w:hAnsi="Lato"/>
          <w:b/>
          <w:bCs/>
          <w:color w:val="333333"/>
          <w:sz w:val="20"/>
          <w:szCs w:val="20"/>
          <w:u w:val="single"/>
        </w:rPr>
      </w:pPr>
      <w:r>
        <w:rPr>
          <w:rFonts w:ascii="Lato" w:hAnsi="Lato"/>
          <w:b/>
          <w:bCs/>
          <w:color w:val="333333"/>
          <w:sz w:val="20"/>
          <w:szCs w:val="20"/>
          <w:u w:val="single"/>
        </w:rPr>
        <w:t xml:space="preserve">(6) All unused distributions are to be returned to the ORC within </w:t>
      </w:r>
      <w:r w:rsidR="00637BDD">
        <w:rPr>
          <w:rFonts w:ascii="Lato" w:hAnsi="Lato"/>
          <w:b/>
          <w:bCs/>
          <w:color w:val="333333"/>
          <w:sz w:val="20"/>
          <w:szCs w:val="20"/>
          <w:u w:val="single"/>
        </w:rPr>
        <w:t>9</w:t>
      </w:r>
      <w:r>
        <w:rPr>
          <w:rFonts w:ascii="Lato" w:hAnsi="Lato"/>
          <w:b/>
          <w:bCs/>
          <w:color w:val="333333"/>
          <w:sz w:val="20"/>
          <w:szCs w:val="20"/>
          <w:u w:val="single"/>
        </w:rPr>
        <w:t>0 days of intended purpose.</w:t>
      </w:r>
    </w:p>
    <w:p w14:paraId="442185EE" w14:textId="64AFF7CC" w:rsidR="000A7232" w:rsidRDefault="000A7232" w:rsidP="00B32B00">
      <w:pPr>
        <w:pStyle w:val="NormalWeb"/>
        <w:shd w:val="clear" w:color="auto" w:fill="FFFFFF" w:themeFill="background1"/>
        <w:rPr>
          <w:rFonts w:ascii="Lato" w:hAnsi="Lato"/>
          <w:b/>
          <w:bCs/>
          <w:color w:val="333333"/>
          <w:sz w:val="20"/>
          <w:szCs w:val="20"/>
          <w:u w:val="single"/>
        </w:rPr>
      </w:pPr>
      <w:r>
        <w:rPr>
          <w:rFonts w:ascii="Lato" w:hAnsi="Lato"/>
          <w:b/>
          <w:bCs/>
          <w:color w:val="333333"/>
          <w:sz w:val="20"/>
          <w:szCs w:val="20"/>
          <w:u w:val="single"/>
        </w:rPr>
        <w:t xml:space="preserve">(7) The recipient will report to the ORC on their hub fund usage within 90 days of the close of the fiscal year. The ORC will provide requirements of such reporting in policy. </w:t>
      </w:r>
    </w:p>
    <w:p w14:paraId="6E8229AD" w14:textId="3D141180" w:rsidR="000A7232" w:rsidRDefault="000A7232" w:rsidP="00B32B00">
      <w:pPr>
        <w:pStyle w:val="NormalWeb"/>
        <w:shd w:val="clear" w:color="auto" w:fill="FFFFFF" w:themeFill="background1"/>
        <w:rPr>
          <w:rFonts w:ascii="Lato" w:hAnsi="Lato"/>
          <w:b/>
          <w:bCs/>
          <w:color w:val="333333"/>
          <w:sz w:val="20"/>
          <w:szCs w:val="20"/>
          <w:u w:val="single"/>
        </w:rPr>
      </w:pPr>
      <w:r>
        <w:rPr>
          <w:rFonts w:ascii="Lato" w:hAnsi="Lato"/>
          <w:b/>
          <w:bCs/>
          <w:color w:val="333333"/>
          <w:sz w:val="20"/>
          <w:szCs w:val="20"/>
          <w:u w:val="single"/>
        </w:rPr>
        <w:t xml:space="preserve">(8) On an annual basis, the ORC will audit the recipient to ensure that funds were used as requested and all remaining funds were returned. </w:t>
      </w:r>
    </w:p>
    <w:p w14:paraId="51A86C4F" w14:textId="28D6D7D3" w:rsidR="00BE0019" w:rsidRPr="00BE0019" w:rsidRDefault="00BE0019" w:rsidP="00BE0019">
      <w:pPr>
        <w:pStyle w:val="NormalWeb"/>
        <w:rPr>
          <w:rFonts w:ascii="Lato" w:hAnsi="Lato"/>
          <w:b/>
          <w:bCs/>
          <w:color w:val="333333"/>
          <w:sz w:val="20"/>
          <w:szCs w:val="20"/>
          <w:u w:val="single"/>
          <w:shd w:val="clear" w:color="auto" w:fill="F5F5F5"/>
        </w:rPr>
      </w:pPr>
      <w:r w:rsidRPr="00BE0019">
        <w:rPr>
          <w:rFonts w:ascii="Lato" w:hAnsi="Lato"/>
          <w:b/>
          <w:bCs/>
          <w:color w:val="333333"/>
          <w:sz w:val="20"/>
          <w:szCs w:val="20"/>
          <w:u w:val="single"/>
        </w:rPr>
        <w:t>(</w:t>
      </w:r>
      <w:r w:rsidR="000A7232">
        <w:rPr>
          <w:rFonts w:ascii="Lato" w:hAnsi="Lato"/>
          <w:b/>
          <w:bCs/>
          <w:color w:val="333333"/>
          <w:sz w:val="20"/>
          <w:szCs w:val="20"/>
          <w:u w:val="single"/>
        </w:rPr>
        <w:t>9</w:t>
      </w:r>
      <w:r w:rsidRPr="00BE0019">
        <w:rPr>
          <w:rFonts w:ascii="Lato" w:hAnsi="Lato"/>
          <w:b/>
          <w:bCs/>
          <w:color w:val="333333"/>
          <w:sz w:val="20"/>
          <w:szCs w:val="20"/>
          <w:u w:val="single"/>
        </w:rPr>
        <w:t xml:space="preserve">) </w:t>
      </w:r>
      <w:r w:rsidRPr="00BE0019">
        <w:rPr>
          <w:rFonts w:ascii="Lato" w:hAnsi="Lato"/>
          <w:b/>
          <w:bCs/>
          <w:color w:val="333333"/>
          <w:sz w:val="20"/>
          <w:szCs w:val="20"/>
          <w:u w:val="single"/>
          <w:shd w:val="clear" w:color="auto" w:fill="F5F5F5"/>
        </w:rPr>
        <w:t xml:space="preserve"> The commission, or its staff, will be given unrestricted access, for review and audit, to all records and financial information of the </w:t>
      </w:r>
      <w:r>
        <w:rPr>
          <w:rFonts w:ascii="Lato" w:hAnsi="Lato"/>
          <w:b/>
          <w:bCs/>
          <w:color w:val="333333"/>
          <w:sz w:val="20"/>
          <w:szCs w:val="20"/>
          <w:u w:val="single"/>
          <w:shd w:val="clear" w:color="auto" w:fill="F5F5F5"/>
        </w:rPr>
        <w:t>recipient of hub funds</w:t>
      </w:r>
      <w:r w:rsidRPr="00BE0019">
        <w:rPr>
          <w:rFonts w:ascii="Lato" w:hAnsi="Lato"/>
          <w:b/>
          <w:bCs/>
          <w:color w:val="333333"/>
          <w:sz w:val="20"/>
          <w:szCs w:val="20"/>
          <w:u w:val="single"/>
          <w:shd w:val="clear" w:color="auto" w:fill="F5F5F5"/>
        </w:rPr>
        <w:t xml:space="preserve">, including all account information. This information will be made available to the commission or commission staff, by the </w:t>
      </w:r>
      <w:r>
        <w:rPr>
          <w:rFonts w:ascii="Lato" w:hAnsi="Lato"/>
          <w:b/>
          <w:bCs/>
          <w:color w:val="333333"/>
          <w:sz w:val="20"/>
          <w:szCs w:val="20"/>
          <w:u w:val="single"/>
          <w:shd w:val="clear" w:color="auto" w:fill="F5F5F5"/>
        </w:rPr>
        <w:t>recipient</w:t>
      </w:r>
      <w:r w:rsidRPr="00BE0019">
        <w:rPr>
          <w:rFonts w:ascii="Lato" w:hAnsi="Lato"/>
          <w:b/>
          <w:bCs/>
          <w:color w:val="333333"/>
          <w:sz w:val="20"/>
          <w:szCs w:val="20"/>
          <w:u w:val="single"/>
          <w:shd w:val="clear" w:color="auto" w:fill="F5F5F5"/>
        </w:rPr>
        <w:t xml:space="preserve">, at </w:t>
      </w:r>
      <w:r>
        <w:rPr>
          <w:rFonts w:ascii="Lato" w:hAnsi="Lato"/>
          <w:b/>
          <w:bCs/>
          <w:color w:val="333333"/>
          <w:sz w:val="20"/>
          <w:szCs w:val="20"/>
          <w:u w:val="single"/>
          <w:shd w:val="clear" w:color="auto" w:fill="F5F5F5"/>
        </w:rPr>
        <w:t>their location</w:t>
      </w:r>
      <w:r w:rsidRPr="00BE0019">
        <w:rPr>
          <w:rFonts w:ascii="Lato" w:hAnsi="Lato"/>
          <w:b/>
          <w:bCs/>
          <w:color w:val="333333"/>
          <w:sz w:val="20"/>
          <w:szCs w:val="20"/>
          <w:u w:val="single"/>
          <w:shd w:val="clear" w:color="auto" w:fill="F5F5F5"/>
        </w:rPr>
        <w:t xml:space="preserve">, upon notice from the commission or commission staff, at all reasonable times to the extent such disclosure is not expressly prohibited by law. </w:t>
      </w:r>
    </w:p>
    <w:p w14:paraId="3F25496F" w14:textId="5972AA21" w:rsidR="001D4873" w:rsidRDefault="001D4873" w:rsidP="00B32B00">
      <w:pPr>
        <w:pStyle w:val="NormalWeb"/>
        <w:shd w:val="clear" w:color="auto" w:fill="FFFFFF" w:themeFill="background1"/>
        <w:rPr>
          <w:rFonts w:ascii="Lato" w:hAnsi="Lato"/>
          <w:color w:val="333333"/>
          <w:sz w:val="20"/>
          <w:szCs w:val="20"/>
        </w:rPr>
      </w:pPr>
      <w:r w:rsidRPr="001D4873">
        <w:rPr>
          <w:rFonts w:ascii="Lato" w:hAnsi="Lato"/>
          <w:b/>
          <w:bCs/>
          <w:color w:val="333333"/>
          <w:sz w:val="20"/>
          <w:szCs w:val="20"/>
          <w:u w:val="single"/>
        </w:rPr>
        <w:t>(</w:t>
      </w:r>
      <w:r w:rsidR="000A7232">
        <w:rPr>
          <w:rFonts w:ascii="Lato" w:hAnsi="Lato"/>
          <w:b/>
          <w:bCs/>
          <w:color w:val="333333"/>
          <w:sz w:val="20"/>
          <w:szCs w:val="20"/>
          <w:u w:val="single"/>
        </w:rPr>
        <w:t>10</w:t>
      </w:r>
      <w:r w:rsidRPr="001D4873">
        <w:rPr>
          <w:rFonts w:ascii="Lato" w:hAnsi="Lato"/>
          <w:b/>
          <w:bCs/>
          <w:color w:val="333333"/>
          <w:sz w:val="20"/>
          <w:szCs w:val="20"/>
          <w:u w:val="single"/>
        </w:rPr>
        <w:t>)</w:t>
      </w:r>
      <w:r w:rsidR="00B32B00" w:rsidRPr="001D4873">
        <w:rPr>
          <w:rFonts w:ascii="Lato" w:hAnsi="Lato"/>
          <w:b/>
          <w:bCs/>
          <w:color w:val="333333"/>
          <w:sz w:val="20"/>
          <w:szCs w:val="20"/>
          <w:u w:val="single"/>
        </w:rPr>
        <w:t>(</w:t>
      </w:r>
      <w:r w:rsidR="00B32B00" w:rsidRPr="001D4873">
        <w:rPr>
          <w:rFonts w:ascii="Lato" w:hAnsi="Lato"/>
          <w:strike/>
          <w:color w:val="333333"/>
          <w:sz w:val="20"/>
          <w:szCs w:val="20"/>
        </w:rPr>
        <w:t>3)</w:t>
      </w:r>
      <w:r w:rsidR="00B32B00">
        <w:rPr>
          <w:rFonts w:ascii="Lato" w:hAnsi="Lato"/>
          <w:color w:val="333333"/>
          <w:sz w:val="20"/>
          <w:szCs w:val="20"/>
        </w:rPr>
        <w:t xml:space="preserve"> The commission's decision on the distribution of these funds is final.</w:t>
      </w:r>
    </w:p>
    <w:p w14:paraId="4A56552A" w14:textId="77777777" w:rsidR="00B32B00" w:rsidRDefault="00B32B00" w:rsidP="00B32B00">
      <w:pPr>
        <w:pStyle w:val="NormalWeb"/>
        <w:shd w:val="clear" w:color="auto" w:fill="FFFFFF" w:themeFill="background1"/>
        <w:rPr>
          <w:rFonts w:ascii="Lato" w:hAnsi="Lato"/>
          <w:color w:val="333333"/>
          <w:sz w:val="20"/>
          <w:szCs w:val="20"/>
        </w:rPr>
      </w:pPr>
      <w:r>
        <w:rPr>
          <w:rFonts w:ascii="Lato" w:hAnsi="Lato"/>
          <w:b/>
          <w:bCs/>
          <w:color w:val="333333"/>
          <w:sz w:val="20"/>
          <w:szCs w:val="20"/>
        </w:rPr>
        <w:t>Statutory/Other Authority:</w:t>
      </w:r>
      <w:r>
        <w:rPr>
          <w:rFonts w:ascii="Lato" w:hAnsi="Lato"/>
          <w:color w:val="333333"/>
          <w:sz w:val="20"/>
          <w:szCs w:val="20"/>
        </w:rPr>
        <w:t> ORS 462.270(3) &amp; 462.725</w:t>
      </w:r>
      <w:r>
        <w:rPr>
          <w:rFonts w:ascii="Lato" w:hAnsi="Lato"/>
          <w:color w:val="333333"/>
          <w:sz w:val="20"/>
          <w:szCs w:val="20"/>
        </w:rPr>
        <w:br/>
      </w:r>
      <w:r>
        <w:rPr>
          <w:rFonts w:ascii="Lato" w:hAnsi="Lato"/>
          <w:b/>
          <w:bCs/>
          <w:color w:val="333333"/>
          <w:sz w:val="20"/>
          <w:szCs w:val="20"/>
        </w:rPr>
        <w:t>Statutes/Other Implemented:</w:t>
      </w:r>
      <w:r>
        <w:rPr>
          <w:rFonts w:ascii="Lato" w:hAnsi="Lato"/>
          <w:color w:val="333333"/>
          <w:sz w:val="20"/>
          <w:szCs w:val="20"/>
        </w:rPr>
        <w:t> ORS 462.725</w:t>
      </w:r>
    </w:p>
    <w:p w14:paraId="66A577D3"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B00"/>
    <w:rsid w:val="000A7232"/>
    <w:rsid w:val="001D4873"/>
    <w:rsid w:val="00637BDD"/>
    <w:rsid w:val="006E5BAE"/>
    <w:rsid w:val="00B32B00"/>
    <w:rsid w:val="00BE0019"/>
    <w:rsid w:val="00E73599"/>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D0B51"/>
  <w15:chartTrackingRefBased/>
  <w15:docId w15:val="{1907C71B-D054-4881-B44D-5789F1F9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2B0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B32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017301">
      <w:bodyDiv w:val="1"/>
      <w:marLeft w:val="0"/>
      <w:marRight w:val="0"/>
      <w:marTop w:val="0"/>
      <w:marBottom w:val="0"/>
      <w:divBdr>
        <w:top w:val="none" w:sz="0" w:space="0" w:color="auto"/>
        <w:left w:val="none" w:sz="0" w:space="0" w:color="auto"/>
        <w:bottom w:val="none" w:sz="0" w:space="0" w:color="auto"/>
        <w:right w:val="none" w:sz="0" w:space="0" w:color="auto"/>
      </w:divBdr>
    </w:div>
    <w:div w:id="206054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5</cp:revision>
  <dcterms:created xsi:type="dcterms:W3CDTF">2023-05-04T20:50:00Z</dcterms:created>
  <dcterms:modified xsi:type="dcterms:W3CDTF">2023-06-06T17:26:00Z</dcterms:modified>
</cp:coreProperties>
</file>